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53" w:rsidRDefault="00F86353">
      <w:pPr>
        <w:jc w:val="center"/>
      </w:pPr>
      <w:r>
        <w:rPr>
          <w:b/>
          <w:bCs/>
          <w:sz w:val="32"/>
          <w:szCs w:val="32"/>
        </w:rPr>
        <w:t>Образец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оформления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тезисов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ВМНК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"Все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грани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математики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механики"</w:t>
      </w:r>
      <w:r w:rsidR="009650DE">
        <w:rPr>
          <w:sz w:val="32"/>
          <w:szCs w:val="32"/>
        </w:rPr>
        <w:t xml:space="preserve"> </w:t>
      </w:r>
      <w:r w:rsidR="002E40C0">
        <w:rPr>
          <w:vertAlign w:val="superscript"/>
        </w:rPr>
        <w:footnoteReference w:id="1"/>
      </w:r>
    </w:p>
    <w:p w:rsidR="00F86353" w:rsidRPr="008B364A" w:rsidRDefault="00F86353" w:rsidP="009650DE">
      <w:pPr>
        <w:spacing w:before="120" w:after="120"/>
        <w:jc w:val="center"/>
        <w:rPr>
          <w:sz w:val="20"/>
          <w:szCs w:val="20"/>
        </w:rPr>
      </w:pPr>
      <w:r w:rsidRPr="008B364A">
        <w:rPr>
          <w:b/>
          <w:bCs/>
          <w:sz w:val="20"/>
          <w:szCs w:val="20"/>
        </w:rPr>
        <w:t>Автор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И.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О.,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Соавтор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И.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О.</w:t>
      </w:r>
    </w:p>
    <w:p w:rsidR="00F86353" w:rsidRPr="008B364A" w:rsidRDefault="00F86353">
      <w:pPr>
        <w:jc w:val="center"/>
        <w:rPr>
          <w:sz w:val="20"/>
          <w:szCs w:val="20"/>
        </w:rPr>
      </w:pPr>
      <w:r w:rsidRPr="008B364A">
        <w:rPr>
          <w:sz w:val="20"/>
          <w:szCs w:val="20"/>
        </w:rPr>
        <w:t>Организация,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город</w:t>
      </w:r>
    </w:p>
    <w:p w:rsidR="00F86353" w:rsidRPr="008B364A" w:rsidRDefault="002E40C0" w:rsidP="002E40C0">
      <w:pPr>
        <w:spacing w:after="120"/>
        <w:jc w:val="center"/>
        <w:rPr>
          <w:sz w:val="20"/>
          <w:szCs w:val="20"/>
        </w:rPr>
      </w:pPr>
      <w:r w:rsidRPr="008B364A">
        <w:rPr>
          <w:sz w:val="20"/>
          <w:szCs w:val="20"/>
        </w:rPr>
        <w:t>e-</w:t>
      </w:r>
      <w:proofErr w:type="spellStart"/>
      <w:r w:rsidRPr="008B364A">
        <w:rPr>
          <w:sz w:val="20"/>
          <w:szCs w:val="20"/>
        </w:rPr>
        <w:t>mail</w:t>
      </w:r>
      <w:proofErr w:type="spellEnd"/>
      <w:r w:rsidRPr="008B364A">
        <w:rPr>
          <w:sz w:val="20"/>
          <w:szCs w:val="20"/>
        </w:rPr>
        <w:t>: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your@email.ru</w:t>
      </w:r>
    </w:p>
    <w:p w:rsidR="00F86353" w:rsidRPr="008B364A" w:rsidRDefault="00F86353">
      <w:pPr>
        <w:jc w:val="both"/>
        <w:rPr>
          <w:sz w:val="20"/>
          <w:szCs w:val="20"/>
        </w:rPr>
      </w:pPr>
      <w:r w:rsidRPr="008B364A">
        <w:rPr>
          <w:sz w:val="20"/>
          <w:szCs w:val="20"/>
        </w:rPr>
        <w:t>Данный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документ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демонстрирует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оформление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тезисов.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Работу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над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тезисами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удобно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начинать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правки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данного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документа.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Объём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статьи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должен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превышать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одной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страницы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формата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А5.</w:t>
      </w:r>
    </w:p>
    <w:p w:rsidR="00F86353" w:rsidRPr="008B364A" w:rsidRDefault="00F86353" w:rsidP="002E40C0">
      <w:pPr>
        <w:pStyle w:val="Theorem"/>
        <w:spacing w:before="120" w:after="120"/>
        <w:rPr>
          <w:sz w:val="20"/>
          <w:szCs w:val="20"/>
        </w:rPr>
      </w:pPr>
      <w:r w:rsidRPr="008B364A">
        <w:rPr>
          <w:b/>
          <w:bCs/>
          <w:sz w:val="20"/>
          <w:szCs w:val="20"/>
        </w:rPr>
        <w:t>Теорема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1.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Текст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тезисов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должен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содержать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таблиц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ил</w:t>
      </w:r>
      <w:bookmarkStart w:id="0" w:name="_GoBack"/>
      <w:bookmarkEnd w:id="0"/>
      <w:r w:rsidRPr="008B364A">
        <w:rPr>
          <w:sz w:val="20"/>
          <w:szCs w:val="20"/>
        </w:rPr>
        <w:t>люстраций.</w:t>
      </w:r>
    </w:p>
    <w:p w:rsidR="00F86353" w:rsidRPr="008B364A" w:rsidRDefault="00F86353" w:rsidP="002E40C0">
      <w:pPr>
        <w:pStyle w:val="Theorem"/>
        <w:spacing w:before="120" w:after="120"/>
        <w:rPr>
          <w:sz w:val="20"/>
          <w:szCs w:val="20"/>
        </w:rPr>
      </w:pPr>
      <w:r w:rsidRPr="008B364A">
        <w:rPr>
          <w:b/>
          <w:bCs/>
          <w:sz w:val="20"/>
          <w:szCs w:val="20"/>
        </w:rPr>
        <w:t>Определение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1.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Далее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представлено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несколько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образцов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оформления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формул.</w:t>
      </w:r>
    </w:p>
    <w:p w:rsidR="00F86353" w:rsidRPr="008B364A" w:rsidRDefault="00F86353" w:rsidP="002E40C0">
      <w:pPr>
        <w:ind w:firstLine="720"/>
        <w:jc w:val="both"/>
        <w:rPr>
          <w:sz w:val="20"/>
          <w:szCs w:val="20"/>
        </w:rPr>
      </w:pPr>
      <w:r w:rsidRPr="008B364A">
        <w:rPr>
          <w:sz w:val="20"/>
          <w:szCs w:val="20"/>
        </w:rPr>
        <w:t>Образец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формулы</w:t>
      </w:r>
      <w:proofErr w:type="gramStart"/>
      <w:r w:rsidRPr="008B364A">
        <w:rPr>
          <w:sz w:val="20"/>
          <w:szCs w:val="20"/>
        </w:rPr>
        <w:t>:</w:t>
      </w:r>
      <w:r w:rsidR="009650DE">
        <w:rPr>
          <w:sz w:val="20"/>
          <w:szCs w:val="20"/>
        </w:rPr>
        <w:t xml:space="preserve"> </w:t>
      </w:r>
      <m:oMath>
        <m:r>
          <w:rPr>
            <w:rFonts w:ascii="Cambria Math" w:hAnsi="Cambria Math" w:cs="Cambria Math"/>
            <w:sz w:val="20"/>
            <w:szCs w:val="20"/>
          </w:rPr>
          <m:t>f(</m:t>
        </m:r>
        <m:sSub>
          <m:sSubPr>
            <m:ctrlPr>
              <w:rPr>
                <w:rFonts w:ascii="Cambria Math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Cambria Math"/>
            <w:sz w:val="20"/>
            <w:szCs w:val="20"/>
          </w:rPr>
          <m:t>,</m:t>
        </m:r>
        <m:sSup>
          <m:sSupPr>
            <m:ctrlPr>
              <w:rPr>
                <w:rFonts w:ascii="Cambria Math" w:hAnsi="Cambria Math" w:cs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="Cambria Math"/>
                <w:sz w:val="20"/>
                <w:szCs w:val="20"/>
              </w:rPr>
              <m:t>α</m:t>
            </m:r>
          </m:e>
          <m:sup>
            <m:r>
              <w:rPr>
                <w:rFonts w:ascii="Cambria Math" w:hAnsi="Cambria Math" w:cs="Cambria Math"/>
                <w:sz w:val="20"/>
                <w:szCs w:val="20"/>
              </w:rPr>
              <m:t>γ</m:t>
            </m:r>
          </m:sup>
        </m:sSup>
        <m:r>
          <w:rPr>
            <w:rFonts w:ascii="Cambria Math" w:hAnsi="Cambria Math" w:cs="Cambria Math"/>
            <w:sz w:val="20"/>
            <w:szCs w:val="20"/>
          </w:rPr>
          <m:t>)</m:t>
        </m:r>
      </m:oMath>
      <w:r w:rsidRPr="008B364A">
        <w:rPr>
          <w:sz w:val="20"/>
          <w:szCs w:val="20"/>
        </w:rPr>
        <w:t>.</w:t>
      </w:r>
      <w:proofErr w:type="gramEnd"/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Образец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выключной</w:t>
      </w:r>
      <w:proofErr w:type="spellEnd"/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(вынесенной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в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отдельную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строку)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без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номера:</w:t>
      </w:r>
    </w:p>
    <w:p w:rsidR="00F86353" w:rsidRPr="008B364A" w:rsidRDefault="00EB5BBA">
      <w:pPr>
        <w:rPr>
          <w:sz w:val="20"/>
          <w:szCs w:val="20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hAnsi="Cambria Math" w:cs="Cambria Math"/>
                  <w:sz w:val="20"/>
                  <w:szCs w:val="20"/>
                </w:rPr>
                <m:t>π</m:t>
              </m:r>
            </m:sup>
            <m:e>
              <m:r>
                <w:rPr>
                  <w:rFonts w:ascii="Cambria Math" w:hAnsi="Cambria Math" w:cs="Cambria Math"/>
                  <w:sz w:val="20"/>
                  <w:szCs w:val="20"/>
                </w:rPr>
                <m:t>f</m:t>
              </m:r>
            </m:e>
          </m:nary>
          <m:r>
            <w:rPr>
              <w:rFonts w:ascii="Cambria Math" w:hAnsi="Cambria Math" w:cs="Cambria Math"/>
              <w:sz w:val="20"/>
              <w:szCs w:val="20"/>
            </w:rPr>
            <m:t>(x)dx=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i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Cambria Math"/>
              <w:sz w:val="20"/>
              <w:szCs w:val="20"/>
            </w:rPr>
            <m:t>=</m:t>
          </m:r>
          <m:nary>
            <m:naryPr>
              <m:chr m:val="⋃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Cambria Math"/>
                  <w:sz w:val="20"/>
                  <w:szCs w:val="20"/>
                </w:rPr>
                <m:t>k=3</m:t>
              </m:r>
            </m:sub>
            <m:sup>
              <m:r>
                <w:rPr>
                  <w:rFonts w:ascii="Cambria Math" w:hAnsi="Cambria Math" w:cs="Cambria Math"/>
                  <w:sz w:val="20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Cambria Math"/>
              <w:sz w:val="20"/>
              <w:szCs w:val="20"/>
            </w:rPr>
            <m:t>=</m:t>
          </m:r>
          <m:nary>
            <m:naryPr>
              <m:chr m:val="⋂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Cambria Math"/>
                  <w:sz w:val="20"/>
                  <w:szCs w:val="20"/>
                </w:rPr>
                <m:t>k=3</m:t>
              </m:r>
            </m:sub>
            <m:sup>
              <m:r>
                <w:rPr>
                  <w:rFonts w:ascii="Cambria Math" w:hAnsi="Cambria Math" w:cs="Cambria Math"/>
                  <w:sz w:val="20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k</m:t>
                  </m:r>
                </m:sub>
              </m:sSub>
            </m:e>
          </m:nary>
        </m:oMath>
      </m:oMathPara>
    </w:p>
    <w:p w:rsidR="00F86353" w:rsidRPr="008B364A" w:rsidRDefault="00F86353">
      <w:pPr>
        <w:jc w:val="both"/>
        <w:rPr>
          <w:sz w:val="20"/>
          <w:szCs w:val="20"/>
        </w:rPr>
      </w:pPr>
      <w:r w:rsidRPr="008B364A">
        <w:rPr>
          <w:sz w:val="20"/>
          <w:szCs w:val="20"/>
        </w:rPr>
        <w:t>Образец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выключной</w:t>
      </w:r>
      <w:proofErr w:type="spellEnd"/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номером:</w:t>
      </w:r>
      <w:r w:rsidR="009650DE">
        <w:rPr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438"/>
        <w:gridCol w:w="951"/>
      </w:tblGrid>
      <w:tr w:rsidR="00F86353" w:rsidRPr="008B364A">
        <w:tc>
          <w:tcPr>
            <w:tcW w:w="750" w:type="pct"/>
            <w:vAlign w:val="center"/>
          </w:tcPr>
          <w:p w:rsidR="00F86353" w:rsidRPr="008B364A" w:rsidRDefault="00F86353">
            <w:pPr>
              <w:rPr>
                <w:sz w:val="20"/>
                <w:szCs w:val="20"/>
              </w:rPr>
            </w:pPr>
          </w:p>
        </w:tc>
        <w:tc>
          <w:tcPr>
            <w:tcW w:w="3500" w:type="pct"/>
          </w:tcPr>
          <w:p w:rsidR="00F86353" w:rsidRPr="008B364A" w:rsidRDefault="00F86353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0"/>
                    <w:szCs w:val="20"/>
                  </w:rPr>
                  <m:t>y(x,α)=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-1,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если </m:t>
                          </m:r>
                          <m: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f(x,α)&lt;0;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+1,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если </m:t>
                          </m:r>
                          <m: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f(x,α)≥0.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50" w:type="pct"/>
            <w:vAlign w:val="center"/>
          </w:tcPr>
          <w:p w:rsidR="00F86353" w:rsidRPr="008B364A" w:rsidRDefault="00F86353">
            <w:pPr>
              <w:widowControl/>
              <w:jc w:val="right"/>
              <w:rPr>
                <w:sz w:val="20"/>
                <w:szCs w:val="20"/>
              </w:rPr>
            </w:pPr>
            <w:r w:rsidRPr="008B364A">
              <w:rPr>
                <w:sz w:val="20"/>
                <w:szCs w:val="20"/>
              </w:rPr>
              <w:t>(1)</w:t>
            </w:r>
          </w:p>
        </w:tc>
      </w:tr>
    </w:tbl>
    <w:p w:rsidR="00F86353" w:rsidRPr="008B364A" w:rsidRDefault="00F86353" w:rsidP="009650DE">
      <w:pPr>
        <w:spacing w:after="240"/>
        <w:jc w:val="both"/>
        <w:rPr>
          <w:sz w:val="20"/>
          <w:szCs w:val="20"/>
        </w:rPr>
      </w:pPr>
      <w:r w:rsidRPr="008B364A">
        <w:rPr>
          <w:sz w:val="20"/>
          <w:szCs w:val="20"/>
        </w:rPr>
        <w:t>Образцы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ссылок: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(1)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</w:p>
    <w:p w:rsidR="00F86353" w:rsidRPr="009650DE" w:rsidRDefault="00F86353" w:rsidP="009650DE">
      <w:pPr>
        <w:pStyle w:val="Paragraph"/>
        <w:spacing w:before="0" w:after="0"/>
        <w:rPr>
          <w:b w:val="0"/>
          <w:bCs w:val="0"/>
          <w:sz w:val="20"/>
          <w:szCs w:val="20"/>
        </w:rPr>
      </w:pPr>
      <w:proofErr w:type="spellStart"/>
      <w:r w:rsidRPr="008B364A">
        <w:rPr>
          <w:sz w:val="20"/>
          <w:szCs w:val="20"/>
        </w:rPr>
        <w:t>Cноски</w:t>
      </w:r>
      <w:proofErr w:type="spellEnd"/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перекрестные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ссылки.</w:t>
      </w:r>
      <w:r w:rsidR="009650DE">
        <w:rPr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Перекрестные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ссылки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на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литературу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заключаются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в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квадратные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скобки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и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перечисляются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через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запятую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или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тире,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например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[1],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[3,2</w:t>
      </w:r>
      <w:r w:rsidR="002E40C0" w:rsidRPr="009650DE">
        <w:rPr>
          <w:b w:val="0"/>
          <w:sz w:val="20"/>
          <w:szCs w:val="20"/>
        </w:rPr>
        <w:t>].</w:t>
      </w:r>
    </w:p>
    <w:p w:rsidR="00F86353" w:rsidRPr="00D103B1" w:rsidRDefault="002E40C0" w:rsidP="009650DE">
      <w:pPr>
        <w:pStyle w:val="Section"/>
        <w:spacing w:after="240"/>
        <w:rPr>
          <w:b w:val="0"/>
          <w:bCs w:val="0"/>
          <w:sz w:val="32"/>
          <w:szCs w:val="32"/>
          <w:lang w:val="en-US"/>
        </w:rPr>
      </w:pPr>
      <w:r w:rsidRPr="00D103B1">
        <w:rPr>
          <w:sz w:val="32"/>
          <w:szCs w:val="32"/>
        </w:rPr>
        <w:t>Список</w:t>
      </w:r>
      <w:r w:rsidR="009650DE" w:rsidRPr="00D103B1">
        <w:rPr>
          <w:sz w:val="32"/>
          <w:szCs w:val="32"/>
          <w:lang w:val="en-US"/>
        </w:rPr>
        <w:t xml:space="preserve"> </w:t>
      </w:r>
      <w:r w:rsidRPr="00D103B1">
        <w:rPr>
          <w:sz w:val="32"/>
          <w:szCs w:val="32"/>
        </w:rPr>
        <w:t>литературы</w:t>
      </w:r>
    </w:p>
    <w:p w:rsidR="00F86353" w:rsidRPr="008B364A" w:rsidRDefault="00F86353">
      <w:pPr>
        <w:jc w:val="both"/>
        <w:rPr>
          <w:sz w:val="20"/>
          <w:szCs w:val="20"/>
        </w:rPr>
      </w:pPr>
      <w:r w:rsidRPr="009650DE">
        <w:rPr>
          <w:sz w:val="20"/>
          <w:szCs w:val="20"/>
          <w:lang w:val="en-US"/>
        </w:rPr>
        <w:t>[1</w:t>
      </w:r>
      <w:proofErr w:type="gramStart"/>
      <w:r w:rsidRPr="009650DE">
        <w:rPr>
          <w:sz w:val="20"/>
          <w:szCs w:val="20"/>
          <w:lang w:val="en-US"/>
        </w:rPr>
        <w:t>]</w:t>
      </w:r>
      <w:r w:rsidR="009650DE" w:rsidRPr="009650DE">
        <w:rPr>
          <w:sz w:val="20"/>
          <w:szCs w:val="20"/>
          <w:lang w:val="en-US"/>
        </w:rPr>
        <w:t xml:space="preserve">  </w:t>
      </w:r>
      <w:proofErr w:type="spellStart"/>
      <w:r w:rsidRPr="008B364A">
        <w:rPr>
          <w:sz w:val="20"/>
          <w:szCs w:val="20"/>
          <w:lang w:val="en-US"/>
        </w:rPr>
        <w:t>Szele</w:t>
      </w:r>
      <w:proofErr w:type="spellEnd"/>
      <w:proofErr w:type="gramEnd"/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T</w:t>
      </w:r>
      <w:r w:rsidRPr="009650DE">
        <w:rPr>
          <w:sz w:val="20"/>
          <w:szCs w:val="20"/>
          <w:lang w:val="en-US"/>
        </w:rPr>
        <w:t>.,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Szendrei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J</w:t>
      </w:r>
      <w:r w:rsidRPr="009650DE">
        <w:rPr>
          <w:sz w:val="20"/>
          <w:szCs w:val="20"/>
          <w:lang w:val="en-US"/>
        </w:rPr>
        <w:t>.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On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Abelian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groups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with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commutative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endomorphism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ring</w:t>
      </w:r>
      <w:r w:rsidR="009650DE" w:rsidRPr="009650DE">
        <w:rPr>
          <w:sz w:val="20"/>
          <w:szCs w:val="20"/>
          <w:lang w:val="en-US"/>
        </w:rPr>
        <w:t xml:space="preserve"> </w:t>
      </w:r>
      <w:r w:rsidRPr="009650DE">
        <w:rPr>
          <w:sz w:val="20"/>
          <w:szCs w:val="20"/>
          <w:lang w:val="en-US"/>
        </w:rPr>
        <w:t>//</w:t>
      </w:r>
      <w:r w:rsidR="009650DE" w:rsidRPr="009650DE">
        <w:rPr>
          <w:sz w:val="20"/>
          <w:szCs w:val="20"/>
          <w:lang w:val="en-US"/>
        </w:rPr>
        <w:t xml:space="preserve"> </w:t>
      </w:r>
      <w:proofErr w:type="spellStart"/>
      <w:r w:rsidRPr="008B364A">
        <w:rPr>
          <w:sz w:val="20"/>
          <w:szCs w:val="20"/>
          <w:lang w:val="en-US"/>
        </w:rPr>
        <w:t>Acta</w:t>
      </w:r>
      <w:proofErr w:type="spellEnd"/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Math</w:t>
      </w:r>
      <w:r w:rsidRPr="009650DE">
        <w:rPr>
          <w:sz w:val="20"/>
          <w:szCs w:val="20"/>
          <w:lang w:val="en-US"/>
        </w:rPr>
        <w:t>.</w:t>
      </w:r>
      <w:r w:rsidR="009650DE" w:rsidRPr="009650DE">
        <w:rPr>
          <w:sz w:val="20"/>
          <w:szCs w:val="20"/>
          <w:lang w:val="en-US"/>
        </w:rPr>
        <w:t xml:space="preserve"> </w:t>
      </w:r>
      <w:proofErr w:type="spellStart"/>
      <w:r w:rsidRPr="008B364A">
        <w:rPr>
          <w:sz w:val="20"/>
          <w:szCs w:val="20"/>
        </w:rPr>
        <w:t>Acad</w:t>
      </w:r>
      <w:proofErr w:type="spellEnd"/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Sci</w:t>
      </w:r>
      <w:proofErr w:type="spellEnd"/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Hungar</w:t>
      </w:r>
      <w:proofErr w:type="spellEnd"/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1951.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V.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2.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No</w:t>
      </w:r>
      <w:proofErr w:type="spellEnd"/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3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–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4.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P.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309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–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324.</w:t>
      </w:r>
      <w:r w:rsidR="009650DE">
        <w:rPr>
          <w:sz w:val="20"/>
          <w:szCs w:val="20"/>
        </w:rPr>
        <w:t xml:space="preserve"> </w:t>
      </w:r>
    </w:p>
    <w:p w:rsidR="00F86353" w:rsidRPr="008B364A" w:rsidRDefault="00F86353">
      <w:pPr>
        <w:jc w:val="both"/>
        <w:rPr>
          <w:sz w:val="20"/>
          <w:szCs w:val="20"/>
        </w:rPr>
      </w:pPr>
      <w:r w:rsidRPr="008B364A">
        <w:rPr>
          <w:sz w:val="20"/>
          <w:szCs w:val="20"/>
        </w:rPr>
        <w:t>[2]</w:t>
      </w:r>
      <w:r w:rsidR="009650DE">
        <w:rPr>
          <w:sz w:val="20"/>
          <w:szCs w:val="20"/>
        </w:rPr>
        <w:t xml:space="preserve">  </w:t>
      </w:r>
      <w:r w:rsidRPr="008B364A">
        <w:rPr>
          <w:sz w:val="20"/>
          <w:szCs w:val="20"/>
        </w:rPr>
        <w:t>Фукс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Л.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Бесконечные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абелевы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группы.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М.: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Мир,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1974.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1</w:t>
      </w:r>
      <w:r w:rsidR="009650DE">
        <w:rPr>
          <w:sz w:val="20"/>
          <w:szCs w:val="20"/>
        </w:rPr>
        <w:t xml:space="preserve"> </w:t>
      </w:r>
    </w:p>
    <w:p w:rsidR="00F86353" w:rsidRPr="008B364A" w:rsidRDefault="00F86353">
      <w:pPr>
        <w:jc w:val="both"/>
        <w:rPr>
          <w:sz w:val="20"/>
          <w:szCs w:val="20"/>
        </w:rPr>
      </w:pPr>
      <w:r w:rsidRPr="008B364A">
        <w:rPr>
          <w:sz w:val="20"/>
          <w:szCs w:val="20"/>
        </w:rPr>
        <w:t>[3]</w:t>
      </w:r>
      <w:r w:rsidR="009650DE">
        <w:rPr>
          <w:sz w:val="20"/>
          <w:szCs w:val="20"/>
        </w:rPr>
        <w:t xml:space="preserve">  </w:t>
      </w:r>
      <w:r w:rsidRPr="008B364A">
        <w:rPr>
          <w:sz w:val="20"/>
          <w:szCs w:val="20"/>
        </w:rPr>
        <w:t>Чехлов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А.Р.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скобке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Ли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эндоморфизмов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абелевых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гр</w:t>
      </w:r>
      <w:r w:rsidR="008B364A">
        <w:rPr>
          <w:sz w:val="20"/>
          <w:szCs w:val="20"/>
        </w:rPr>
        <w:t>упп</w:t>
      </w:r>
      <w:r w:rsidR="009650DE">
        <w:rPr>
          <w:sz w:val="20"/>
          <w:szCs w:val="20"/>
        </w:rPr>
        <w:t xml:space="preserve"> </w:t>
      </w:r>
      <w:r w:rsidR="008B364A">
        <w:rPr>
          <w:sz w:val="20"/>
          <w:szCs w:val="20"/>
        </w:rPr>
        <w:t>//</w:t>
      </w:r>
      <w:r w:rsidR="009650DE">
        <w:rPr>
          <w:sz w:val="20"/>
          <w:szCs w:val="20"/>
        </w:rPr>
        <w:t xml:space="preserve"> </w:t>
      </w:r>
      <w:r w:rsidR="008B364A">
        <w:rPr>
          <w:sz w:val="20"/>
          <w:szCs w:val="20"/>
        </w:rPr>
        <w:t>Вестник</w:t>
      </w:r>
      <w:r w:rsidR="009650DE">
        <w:rPr>
          <w:sz w:val="20"/>
          <w:szCs w:val="20"/>
        </w:rPr>
        <w:t xml:space="preserve"> </w:t>
      </w:r>
      <w:r w:rsidR="008B364A">
        <w:rPr>
          <w:sz w:val="20"/>
          <w:szCs w:val="20"/>
        </w:rPr>
        <w:t>Томского</w:t>
      </w:r>
      <w:r w:rsidR="009650DE">
        <w:rPr>
          <w:sz w:val="20"/>
          <w:szCs w:val="20"/>
        </w:rPr>
        <w:t xml:space="preserve"> </w:t>
      </w:r>
      <w:r w:rsidR="008B364A">
        <w:rPr>
          <w:sz w:val="20"/>
          <w:szCs w:val="20"/>
        </w:rPr>
        <w:t>госуни</w:t>
      </w:r>
      <w:r w:rsidRPr="008B364A">
        <w:rPr>
          <w:sz w:val="20"/>
          <w:szCs w:val="20"/>
        </w:rPr>
        <w:t>верситета.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Математика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механика.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2009.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№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2(6).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78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–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84.</w:t>
      </w:r>
      <w:r w:rsidR="009650DE">
        <w:rPr>
          <w:sz w:val="20"/>
          <w:szCs w:val="20"/>
        </w:rPr>
        <w:t xml:space="preserve"> </w:t>
      </w:r>
    </w:p>
    <w:sectPr w:rsidR="00F86353" w:rsidRPr="008B364A" w:rsidSect="00B35F64">
      <w:footerReference w:type="default" r:id="rId8"/>
      <w:pgSz w:w="8392" w:h="11907" w:code="8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BA" w:rsidRDefault="00EB5BBA" w:rsidP="00F86353">
      <w:r>
        <w:separator/>
      </w:r>
    </w:p>
  </w:endnote>
  <w:endnote w:type="continuationSeparator" w:id="0">
    <w:p w:rsidR="00EB5BBA" w:rsidRDefault="00EB5BBA" w:rsidP="00F8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C0" w:rsidRPr="009650DE" w:rsidRDefault="008B364A" w:rsidP="002E40C0">
    <w:pPr>
      <w:pStyle w:val="Footnote"/>
      <w:autoSpaceDN/>
      <w:rPr>
        <w:sz w:val="16"/>
        <w:szCs w:val="16"/>
      </w:rPr>
    </w:pPr>
    <w:r w:rsidRPr="009650DE">
      <w:rPr>
        <w:sz w:val="16"/>
        <w:szCs w:val="16"/>
        <w:vertAlign w:val="superscript"/>
      </w:rPr>
      <w:t xml:space="preserve">1 </w:t>
    </w:r>
    <w:r w:rsidR="002E40C0" w:rsidRPr="009650DE">
      <w:rPr>
        <w:sz w:val="16"/>
        <w:szCs w:val="16"/>
      </w:rPr>
      <w:t>Работа выполнена при финансовой поддержке РФФИ, проект  00-00-00000.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BA" w:rsidRDefault="00EB5BBA" w:rsidP="00F86353">
      <w:r>
        <w:separator/>
      </w:r>
    </w:p>
  </w:footnote>
  <w:footnote w:type="continuationSeparator" w:id="0">
    <w:p w:rsidR="00EB5BBA" w:rsidRDefault="00EB5BBA" w:rsidP="00F86353">
      <w:r>
        <w:continuationSeparator/>
      </w:r>
    </w:p>
  </w:footnote>
  <w:footnote w:id="1">
    <w:p w:rsidR="002E40C0" w:rsidRPr="002E40C0" w:rsidRDefault="002E40C0" w:rsidP="002E40C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64A3C"/>
    <w:multiLevelType w:val="multilevel"/>
    <w:tmpl w:val="F26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353"/>
    <w:rsid w:val="000D3DAF"/>
    <w:rsid w:val="002E40C0"/>
    <w:rsid w:val="003820FD"/>
    <w:rsid w:val="00496626"/>
    <w:rsid w:val="008B364A"/>
    <w:rsid w:val="009650DE"/>
    <w:rsid w:val="00B35F64"/>
    <w:rsid w:val="00CE39B5"/>
    <w:rsid w:val="00D103B1"/>
    <w:rsid w:val="00EB5BBA"/>
    <w:rsid w:val="00F3528A"/>
    <w:rsid w:val="00F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B0BBA8-C313-4B7E-AD68-DF4F79C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aliases w:val="Heading 1"/>
    <w:basedOn w:val="a"/>
    <w:next w:val="a"/>
    <w:uiPriority w:val="99"/>
    <w:rsid w:val="00496626"/>
    <w:pPr>
      <w:keepNext/>
      <w:spacing w:before="240" w:after="160"/>
    </w:pPr>
    <w:rPr>
      <w:b/>
      <w:bCs/>
      <w:sz w:val="34"/>
      <w:szCs w:val="34"/>
    </w:rPr>
  </w:style>
  <w:style w:type="paragraph" w:customStyle="1" w:styleId="Subsection">
    <w:name w:val="Subsection"/>
    <w:aliases w:val="Heading 2"/>
    <w:basedOn w:val="a"/>
    <w:next w:val="a"/>
    <w:uiPriority w:val="99"/>
    <w:rsid w:val="00496626"/>
    <w:pPr>
      <w:keepNext/>
      <w:spacing w:before="240" w:after="160"/>
    </w:pPr>
    <w:rPr>
      <w:i/>
      <w:iCs/>
      <w:sz w:val="32"/>
      <w:szCs w:val="32"/>
    </w:rPr>
  </w:style>
  <w:style w:type="paragraph" w:customStyle="1" w:styleId="Subsubsection">
    <w:name w:val="Subsubsection"/>
    <w:aliases w:val="Heading 3"/>
    <w:basedOn w:val="a"/>
    <w:next w:val="a"/>
    <w:uiPriority w:val="99"/>
    <w:rsid w:val="00496626"/>
    <w:pPr>
      <w:keepNext/>
      <w:spacing w:before="240" w:after="160"/>
    </w:pPr>
    <w:rPr>
      <w:sz w:val="28"/>
      <w:szCs w:val="28"/>
    </w:rPr>
  </w:style>
  <w:style w:type="paragraph" w:customStyle="1" w:styleId="Paragraph">
    <w:name w:val="Paragraph"/>
    <w:aliases w:val="Heading 4"/>
    <w:basedOn w:val="a"/>
    <w:next w:val="a"/>
    <w:uiPriority w:val="99"/>
    <w:rsid w:val="00496626"/>
    <w:pPr>
      <w:keepNext/>
      <w:spacing w:before="240" w:after="160"/>
    </w:pPr>
    <w:rPr>
      <w:b/>
      <w:bCs/>
    </w:rPr>
  </w:style>
  <w:style w:type="paragraph" w:customStyle="1" w:styleId="Subparagraph">
    <w:name w:val="Subparagraph"/>
    <w:aliases w:val="Heading 5"/>
    <w:basedOn w:val="a"/>
    <w:next w:val="a"/>
    <w:uiPriority w:val="99"/>
    <w:rsid w:val="00496626"/>
    <w:pPr>
      <w:keepNext/>
      <w:spacing w:before="240" w:after="160"/>
    </w:pPr>
    <w:rPr>
      <w:b/>
      <w:bCs/>
    </w:rPr>
  </w:style>
  <w:style w:type="paragraph" w:customStyle="1" w:styleId="Quotation">
    <w:name w:val="Quotation"/>
    <w:basedOn w:val="a"/>
    <w:next w:val="a"/>
    <w:uiPriority w:val="99"/>
    <w:rsid w:val="00496626"/>
    <w:pPr>
      <w:keepNext/>
      <w:spacing w:before="240" w:after="160"/>
    </w:pPr>
  </w:style>
  <w:style w:type="paragraph" w:customStyle="1" w:styleId="Verse">
    <w:name w:val="Verse"/>
    <w:basedOn w:val="a"/>
    <w:next w:val="a"/>
    <w:uiPriority w:val="99"/>
    <w:rsid w:val="00496626"/>
    <w:pPr>
      <w:keepNext/>
      <w:spacing w:before="240" w:after="160"/>
    </w:pPr>
  </w:style>
  <w:style w:type="paragraph" w:customStyle="1" w:styleId="Theorem">
    <w:name w:val="Theorem"/>
    <w:basedOn w:val="a"/>
    <w:next w:val="a"/>
    <w:uiPriority w:val="99"/>
    <w:rsid w:val="00496626"/>
    <w:pPr>
      <w:jc w:val="both"/>
    </w:pPr>
  </w:style>
  <w:style w:type="paragraph" w:customStyle="1" w:styleId="1">
    <w:name w:val="Название объекта1"/>
    <w:basedOn w:val="a"/>
    <w:next w:val="a"/>
    <w:uiPriority w:val="99"/>
    <w:rsid w:val="00496626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Footnote">
    <w:name w:val="Footnote"/>
    <w:basedOn w:val="a"/>
    <w:next w:val="a"/>
    <w:uiPriority w:val="99"/>
    <w:rsid w:val="00496626"/>
  </w:style>
  <w:style w:type="paragraph" w:customStyle="1" w:styleId="MTDisplayEquation">
    <w:name w:val="MTDisplayEquation"/>
    <w:basedOn w:val="a"/>
    <w:next w:val="a"/>
    <w:uiPriority w:val="99"/>
    <w:rsid w:val="00496626"/>
  </w:style>
  <w:style w:type="paragraph" w:styleId="a3">
    <w:name w:val="Balloon Text"/>
    <w:basedOn w:val="a"/>
    <w:link w:val="a4"/>
    <w:uiPriority w:val="99"/>
    <w:semiHidden/>
    <w:unhideWhenUsed/>
    <w:rsid w:val="00CE3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4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0C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0C0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E40C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40C0"/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2E40C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E40C0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E40C0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2E4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7449-6A90-4858-A033-9D3E8ACD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lvm432</cp:lastModifiedBy>
  <cp:revision>6</cp:revision>
  <dcterms:created xsi:type="dcterms:W3CDTF">2019-02-02T06:55:00Z</dcterms:created>
  <dcterms:modified xsi:type="dcterms:W3CDTF">2019-03-04T14:05:00Z</dcterms:modified>
</cp:coreProperties>
</file>