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60" w:rsidRPr="00B15D4E" w:rsidRDefault="00220960" w:rsidP="00220960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00B15D4E">
        <w:rPr>
          <w:rFonts w:asciiTheme="minorHAnsi" w:hAnsiTheme="minorHAnsi"/>
          <w:b/>
          <w:bCs/>
          <w:sz w:val="28"/>
          <w:szCs w:val="28"/>
        </w:rPr>
        <w:t>Аннотация программы н</w:t>
      </w:r>
      <w:r w:rsidRPr="00B15D4E">
        <w:rPr>
          <w:rFonts w:asciiTheme="minorHAnsi" w:eastAsia="Times New Roman" w:hAnsiTheme="minorHAnsi"/>
          <w:b/>
          <w:sz w:val="28"/>
          <w:szCs w:val="28"/>
        </w:rPr>
        <w:t>аправлени</w:t>
      </w:r>
      <w:r w:rsidR="00CF3D2D">
        <w:rPr>
          <w:rFonts w:asciiTheme="minorHAnsi" w:eastAsia="Times New Roman" w:hAnsiTheme="minorHAnsi"/>
          <w:b/>
          <w:sz w:val="28"/>
          <w:szCs w:val="28"/>
        </w:rPr>
        <w:t>я</w:t>
      </w:r>
      <w:r w:rsidRPr="00B15D4E">
        <w:rPr>
          <w:rFonts w:asciiTheme="minorHAnsi" w:eastAsia="Times New Roman" w:hAnsiTheme="minorHAnsi"/>
          <w:b/>
          <w:sz w:val="28"/>
          <w:szCs w:val="28"/>
        </w:rPr>
        <w:t xml:space="preserve"> подготовки</w:t>
      </w:r>
      <w:r w:rsidRPr="00B15D4E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</w:p>
    <w:p w:rsidR="00220960" w:rsidRPr="00B15D4E" w:rsidRDefault="00220960" w:rsidP="00B15D4E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bookmarkStart w:id="0" w:name="_GoBack"/>
      <w:r w:rsidRPr="00B15D4E">
        <w:rPr>
          <w:rFonts w:asciiTheme="minorHAnsi" w:eastAsia="Times New Roman" w:hAnsiTheme="minorHAnsi"/>
          <w:b/>
          <w:bCs/>
          <w:sz w:val="28"/>
          <w:szCs w:val="28"/>
        </w:rPr>
        <w:t xml:space="preserve">02.03.01 </w:t>
      </w:r>
      <w:bookmarkEnd w:id="0"/>
      <w:r w:rsidRPr="00B15D4E">
        <w:rPr>
          <w:rFonts w:asciiTheme="minorHAnsi" w:eastAsia="Times New Roman" w:hAnsiTheme="minorHAnsi"/>
          <w:b/>
          <w:sz w:val="28"/>
          <w:szCs w:val="28"/>
        </w:rPr>
        <w:t>– Математика и компьютерные науки</w:t>
      </w:r>
      <w:r w:rsidRPr="00B15D4E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</w:p>
    <w:p w:rsidR="00220960" w:rsidRDefault="00220960" w:rsidP="00220960">
      <w:pPr>
        <w:shd w:val="clear" w:color="auto" w:fill="FFFFFF"/>
        <w:spacing w:after="0" w:line="240" w:lineRule="auto"/>
        <w:rPr>
          <w:rFonts w:ascii="Tahoma" w:eastAsia="Times New Roman" w:hAnsi="Symbol" w:cs="Tahoma"/>
          <w:color w:val="434343"/>
          <w:sz w:val="18"/>
          <w:szCs w:val="18"/>
          <w:lang w:eastAsia="ru-RU"/>
        </w:rPr>
      </w:pP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Квалификация (степень) выпускника: бакалавр</w:t>
      </w:r>
    </w:p>
    <w:p w:rsidR="00220960" w:rsidRPr="000B62EB" w:rsidRDefault="00CF3D2D" w:rsidP="00220960">
      <w:pPr>
        <w:shd w:val="clear" w:color="auto" w:fill="FFFFFF"/>
        <w:spacing w:before="150" w:after="150" w:line="234" w:lineRule="atLeast"/>
        <w:rPr>
          <w:rFonts w:eastAsia="Times New Roman" w:cs="Tahoma"/>
          <w:color w:val="434343"/>
          <w:sz w:val="24"/>
          <w:szCs w:val="24"/>
          <w:lang w:eastAsia="ru-RU"/>
        </w:rPr>
      </w:pPr>
      <w:proofErr w:type="gramStart"/>
      <w:r>
        <w:rPr>
          <w:rFonts w:eastAsia="Times New Roman" w:cs="Tahoma"/>
          <w:color w:val="434343"/>
          <w:sz w:val="24"/>
          <w:szCs w:val="24"/>
          <w:lang w:eastAsia="ru-RU"/>
        </w:rPr>
        <w:t>По этой программе осуществляется подготовка</w:t>
      </w:r>
      <w:r w:rsidR="00220960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color w:val="434343"/>
          <w:sz w:val="24"/>
          <w:szCs w:val="24"/>
          <w:lang w:eastAsia="ru-RU"/>
        </w:rPr>
        <w:t>бакалавров</w:t>
      </w:r>
      <w:r w:rsidR="00220960" w:rsidRPr="000B62EB">
        <w:rPr>
          <w:rFonts w:eastAsia="Times New Roman" w:cs="Tahoma"/>
          <w:color w:val="434343"/>
          <w:sz w:val="24"/>
          <w:szCs w:val="24"/>
          <w:lang w:eastAsia="ru-RU"/>
        </w:rPr>
        <w:t>, способных решать задачи, связанные с применением методов математического анализа и компьютеров (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разработка метода исследования с помощью компьютера; </w:t>
      </w:r>
      <w:r w:rsidR="00220960" w:rsidRPr="000B62EB">
        <w:rPr>
          <w:rFonts w:eastAsia="Times New Roman" w:cs="Tahoma"/>
          <w:color w:val="434343"/>
          <w:sz w:val="24"/>
          <w:szCs w:val="24"/>
          <w:lang w:eastAsia="ru-RU"/>
        </w:rPr>
        <w:t>создание нового программного продукта; адаптация готового программного продукта под конкретного потребителя; владение методами математического и алгоритмического моделирования при анализе задач бизнеса, финансовой и актуарной математики;</w:t>
      </w:r>
      <w:proofErr w:type="gramEnd"/>
      <w:r w:rsidR="00220960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компьютерная обработка информации; защита информации; создание и применение специализированных программных комплексов).</w:t>
      </w:r>
    </w:p>
    <w:p w:rsidR="00220960" w:rsidRPr="000B62EB" w:rsidRDefault="00220960" w:rsidP="00220960">
      <w:pPr>
        <w:shd w:val="clear" w:color="auto" w:fill="FFFFFF"/>
        <w:spacing w:before="150" w:after="150" w:line="234" w:lineRule="atLeast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Бакалавр данного направления подготовлен к следующим видам профессиональной деятельности:</w:t>
      </w:r>
    </w:p>
    <w:p w:rsidR="00220960" w:rsidRPr="000B62EB" w:rsidRDefault="00220960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научно-исследовательская и научно-изыскательская (математик, инженер-программист, системный программист, научный сотрудник, аналитик и другие);</w:t>
      </w:r>
    </w:p>
    <w:p w:rsidR="00220960" w:rsidRPr="000B62EB" w:rsidRDefault="00220960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работа, связанная с применением математических методов 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логистики,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экономики, </w:t>
      </w:r>
      <w:proofErr w:type="spellStart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актуарно</w:t>
      </w:r>
      <w:proofErr w:type="spellEnd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-финансового анализа, защиты информации;</w:t>
      </w:r>
    </w:p>
    <w:p w:rsidR="00220960" w:rsidRPr="000B62EB" w:rsidRDefault="00220960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работа, связанная с использованием программного обеспечения и применением математических методов обработки информации;</w:t>
      </w:r>
    </w:p>
    <w:p w:rsidR="00220960" w:rsidRPr="000B62EB" w:rsidRDefault="00220960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работа, связанная с созданием и применением специализированных программных комплексов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 и суперкомпьютеров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;</w:t>
      </w:r>
    </w:p>
    <w:p w:rsidR="00220960" w:rsidRPr="000B62EB" w:rsidRDefault="00220960" w:rsidP="000B62E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организационно-управленческая.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Профили подготовки:</w:t>
      </w:r>
    </w:p>
    <w:p w:rsidR="00220960" w:rsidRPr="00B15D4E" w:rsidRDefault="00220960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B15D4E">
        <w:rPr>
          <w:rFonts w:eastAsia="Times New Roman" w:cs="Tahoma"/>
          <w:color w:val="434343"/>
          <w:sz w:val="24"/>
          <w:szCs w:val="24"/>
          <w:lang w:eastAsia="ru-RU"/>
        </w:rPr>
        <w:t>«Математический анализ и приложения»</w:t>
      </w:r>
    </w:p>
    <w:p w:rsidR="00220960" w:rsidRPr="00B15D4E" w:rsidRDefault="00220960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B15D4E">
        <w:rPr>
          <w:rFonts w:eastAsia="Times New Roman" w:cs="Tahoma"/>
          <w:color w:val="434343"/>
          <w:sz w:val="24"/>
          <w:szCs w:val="24"/>
          <w:lang w:eastAsia="ru-RU"/>
        </w:rPr>
        <w:t>«</w:t>
      </w:r>
      <w:r w:rsidR="00B15D4E" w:rsidRPr="00B15D4E">
        <w:rPr>
          <w:rFonts w:eastAsia="Times New Roman" w:cs="Tahoma"/>
          <w:color w:val="434343"/>
          <w:sz w:val="24"/>
          <w:szCs w:val="24"/>
          <w:lang w:eastAsia="ru-RU"/>
        </w:rPr>
        <w:t>Алгебра и дискретная математика</w:t>
      </w:r>
      <w:r w:rsidRPr="00B15D4E">
        <w:rPr>
          <w:rFonts w:eastAsia="Times New Roman" w:cs="Tahoma"/>
          <w:color w:val="434343"/>
          <w:sz w:val="24"/>
          <w:szCs w:val="24"/>
          <w:lang w:eastAsia="ru-RU"/>
        </w:rPr>
        <w:t>»</w:t>
      </w:r>
    </w:p>
    <w:p w:rsidR="00B15D4E" w:rsidRPr="00B15D4E" w:rsidRDefault="00B15D4E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B15D4E">
        <w:rPr>
          <w:rFonts w:eastAsia="Times New Roman" w:cs="Tahoma"/>
          <w:color w:val="434343"/>
          <w:sz w:val="24"/>
          <w:szCs w:val="24"/>
          <w:lang w:eastAsia="ru-RU"/>
        </w:rPr>
        <w:t>«Геометрия и топология»</w:t>
      </w:r>
    </w:p>
    <w:p w:rsidR="00220960" w:rsidRDefault="00220960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 w:rsidRPr="00B15D4E">
        <w:rPr>
          <w:rFonts w:eastAsia="Times New Roman" w:cs="Tahoma"/>
          <w:color w:val="434343"/>
          <w:sz w:val="24"/>
          <w:szCs w:val="24"/>
          <w:lang w:eastAsia="ru-RU"/>
        </w:rPr>
        <w:t>«Математическое и компьютерное моделирование»</w:t>
      </w:r>
    </w:p>
    <w:p w:rsidR="0079410A" w:rsidRPr="00B15D4E" w:rsidRDefault="0079410A" w:rsidP="00B15D4E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ind w:right="150"/>
        <w:jc w:val="both"/>
        <w:rPr>
          <w:rFonts w:eastAsia="Times New Roman" w:cs="Tahoma"/>
          <w:color w:val="434343"/>
          <w:sz w:val="24"/>
          <w:szCs w:val="24"/>
          <w:lang w:eastAsia="ru-RU"/>
        </w:rPr>
      </w:pPr>
      <w:r>
        <w:rPr>
          <w:rFonts w:eastAsia="Times New Roman" w:cs="Tahoma"/>
          <w:color w:val="434343"/>
          <w:sz w:val="24"/>
          <w:szCs w:val="24"/>
          <w:lang w:eastAsia="ru-RU"/>
        </w:rPr>
        <w:t>«Математические методы в экономике и финансах»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Выпускники имеют возможность продолжить образование в магистратуре по направлени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ям «Математика»,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«Математика и компьютерные науки»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, «Механика и математическое моделирование»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Срок обучения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— 4 года.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Общая характеристика направления подготовки. 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Выпускники данного направления являются </w:t>
      </w:r>
      <w:proofErr w:type="gramStart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специалистами</w:t>
      </w:r>
      <w:proofErr w:type="gramEnd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 как в области математики, так и области компьютерных наук. Учебный план данного направления близок к учебному плану направления «Прикладная математика и информатика». </w:t>
      </w:r>
      <w:proofErr w:type="gramStart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Это позволяет выпускникам работать не только в сфере применения информационных технологий, связанных с обработкой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>,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представлением 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и хранением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информации (</w:t>
      </w:r>
      <w:proofErr w:type="spellStart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Web</w:t>
      </w:r>
      <w:proofErr w:type="spellEnd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-дизайн, Интернет-технологии, базы данных и т.д.), но и в сферах, требующих разработки математических моделей, анализа данных моделей, создание вычислительных алгоритмов и их реализации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 для широкого спектра задач науки, техники и технологии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.</w:t>
      </w:r>
      <w:proofErr w:type="gramEnd"/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Описание основной образовательной программы. 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Студенты данного направления изучают как математические дисциплины (математический анализ, алгебра, геометрия,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lastRenderedPageBreak/>
        <w:t>уравнения математической физики), так и дисциплины компьютерного цикла (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компьютерные науки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, базы данных,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компьютерную алгебру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, параллельное программирование, компьютерн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>ую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график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>у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, 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математические модели логистики, </w:t>
      </w:r>
      <w:proofErr w:type="gramStart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интернет-технологии</w:t>
      </w:r>
      <w:proofErr w:type="gramEnd"/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).</w:t>
      </w:r>
    </w:p>
    <w:p w:rsidR="00BA1A0C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Практика.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 Студенты проходят 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учебную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практику 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в  </w:t>
      </w:r>
      <w:r w:rsidR="0079410A">
        <w:rPr>
          <w:rFonts w:eastAsia="Times New Roman" w:cs="Tahoma"/>
          <w:color w:val="434343"/>
          <w:sz w:val="24"/>
          <w:szCs w:val="24"/>
          <w:lang w:val="en-US" w:eastAsia="ru-RU"/>
        </w:rPr>
        <w:t>IT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 xml:space="preserve"> компаниях, научных институтах СО РАН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Томск</w:t>
      </w:r>
      <w:r w:rsidR="0079410A">
        <w:rPr>
          <w:rFonts w:eastAsia="Times New Roman" w:cs="Tahoma"/>
          <w:color w:val="434343"/>
          <w:sz w:val="24"/>
          <w:szCs w:val="24"/>
          <w:lang w:eastAsia="ru-RU"/>
        </w:rPr>
        <w:t>а и Томской экономической внедренческой зоны</w:t>
      </w:r>
      <w:r w:rsidR="00CF3D2D">
        <w:rPr>
          <w:rFonts w:eastAsia="Times New Roman" w:cs="Tahoma"/>
          <w:color w:val="434343"/>
          <w:sz w:val="24"/>
          <w:szCs w:val="24"/>
          <w:lang w:eastAsia="ru-RU"/>
        </w:rPr>
        <w:t>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Возможность участия в региональных, всероссийских и международных мероприятиях. 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Поддерживается любая возможность участия студентов во всех мероприятиях, проводимых на территории Российской Федерации.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Международное сотрудничество. 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Факультет поддерживает тесные контакты </w:t>
      </w:r>
      <w:proofErr w:type="spellStart"/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Руанским</w:t>
      </w:r>
      <w:proofErr w:type="spellEnd"/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университето</w:t>
      </w:r>
      <w:proofErr w:type="gramStart"/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м</w:t>
      </w:r>
      <w:r w:rsidR="001339BA">
        <w:rPr>
          <w:rFonts w:eastAsia="Times New Roman" w:cs="Tahoma"/>
          <w:color w:val="434343"/>
          <w:sz w:val="24"/>
          <w:szCs w:val="24"/>
          <w:lang w:eastAsia="ru-RU"/>
        </w:rPr>
        <w:t>(</w:t>
      </w:r>
      <w:proofErr w:type="gramEnd"/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Франция </w:t>
      </w:r>
      <w:r w:rsidR="001339BA">
        <w:rPr>
          <w:rFonts w:eastAsia="Times New Roman" w:cs="Tahoma"/>
          <w:color w:val="434343"/>
          <w:sz w:val="24"/>
          <w:szCs w:val="24"/>
          <w:lang w:eastAsia="ru-RU"/>
        </w:rPr>
        <w:t xml:space="preserve">- 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совместная международная магистерская программа «Математический анализ и моделирование»), научными организациями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дальнего зарубежья (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Дания,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Италия, </w:t>
      </w:r>
      <w:r w:rsidR="00BA1A0C" w:rsidRPr="000B62EB">
        <w:rPr>
          <w:rFonts w:eastAsia="Times New Roman" w:cs="Tahoma"/>
          <w:color w:val="434343"/>
          <w:sz w:val="24"/>
          <w:szCs w:val="24"/>
          <w:lang w:eastAsia="ru-RU"/>
        </w:rPr>
        <w:t>Япония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)</w:t>
      </w:r>
      <w:r w:rsidR="00CF3D2D">
        <w:rPr>
          <w:rFonts w:eastAsia="Times New Roman" w:cs="Tahoma"/>
          <w:color w:val="434343"/>
          <w:sz w:val="24"/>
          <w:szCs w:val="24"/>
          <w:lang w:eastAsia="ru-RU"/>
        </w:rPr>
        <w:t>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Кадровое обеспечение учебного процесса.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 На факультете работают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один член-корреспондент РАН, два заслуженных деятеля науки,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1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7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 докторов и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39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кандидатов наук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, 2</w:t>
      </w:r>
      <w:r w:rsidR="001339BA">
        <w:rPr>
          <w:rFonts w:eastAsia="Times New Roman" w:cs="Tahoma"/>
          <w:color w:val="434343"/>
          <w:sz w:val="24"/>
          <w:szCs w:val="24"/>
          <w:lang w:eastAsia="ru-RU"/>
        </w:rPr>
        <w:t>9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Почетных работников высшей школы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. 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Аудиторное и материально-техническое обеспечение учебного процесса.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Факультет имеет 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четыре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компьютерных класса и многопроцессорный вычислительный комплекс, где ведется подготовка студентов в области параллельных вычислений (будущее компьютерных систем</w:t>
      </w:r>
      <w:r w:rsidR="001339BA" w:rsidRPr="001339BA">
        <w:rPr>
          <w:rFonts w:eastAsia="Times New Roman" w:cs="Tahoma"/>
          <w:color w:val="434343"/>
          <w:sz w:val="24"/>
          <w:szCs w:val="24"/>
          <w:lang w:eastAsia="ru-RU"/>
        </w:rPr>
        <w:t xml:space="preserve">, </w:t>
      </w:r>
      <w:hyperlink r:id="rId6" w:history="1">
        <w:r w:rsidR="001339BA" w:rsidRPr="005C0012">
          <w:rPr>
            <w:rStyle w:val="a3"/>
            <w:rFonts w:eastAsia="Times New Roman" w:cs="Tahoma"/>
            <w:sz w:val="24"/>
            <w:szCs w:val="24"/>
            <w:lang w:val="en-US" w:eastAsia="ru-RU"/>
          </w:rPr>
          <w:t>http</w:t>
        </w:r>
        <w:r w:rsidR="001339BA" w:rsidRPr="001339BA">
          <w:rPr>
            <w:rStyle w:val="a3"/>
            <w:rFonts w:eastAsia="Times New Roman" w:cs="Tahoma"/>
            <w:sz w:val="24"/>
            <w:szCs w:val="24"/>
            <w:lang w:eastAsia="ru-RU"/>
          </w:rPr>
          <w:t>://</w:t>
        </w:r>
        <w:proofErr w:type="spellStart"/>
        <w:r w:rsidR="001339BA" w:rsidRPr="005C0012">
          <w:rPr>
            <w:rStyle w:val="a3"/>
            <w:rFonts w:eastAsia="Times New Roman" w:cs="Tahoma"/>
            <w:sz w:val="24"/>
            <w:szCs w:val="24"/>
            <w:lang w:val="en-US" w:eastAsia="ru-RU"/>
          </w:rPr>
          <w:t>skif</w:t>
        </w:r>
        <w:proofErr w:type="spellEnd"/>
        <w:r w:rsidR="001339BA" w:rsidRPr="001339BA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proofErr w:type="spellStart"/>
        <w:r w:rsidR="001339BA" w:rsidRPr="005C0012">
          <w:rPr>
            <w:rStyle w:val="a3"/>
            <w:rFonts w:eastAsia="Times New Roman" w:cs="Tahoma"/>
            <w:sz w:val="24"/>
            <w:szCs w:val="24"/>
            <w:lang w:val="en-US" w:eastAsia="ru-RU"/>
          </w:rPr>
          <w:t>tsu</w:t>
        </w:r>
        <w:proofErr w:type="spellEnd"/>
        <w:r w:rsidR="001339BA" w:rsidRPr="001339BA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proofErr w:type="spellStart"/>
        <w:r w:rsidR="001339BA" w:rsidRPr="005C0012">
          <w:rPr>
            <w:rStyle w:val="a3"/>
            <w:rFonts w:eastAsia="Times New Roman" w:cs="Tahoma"/>
            <w:sz w:val="24"/>
            <w:szCs w:val="24"/>
            <w:lang w:val="en-US" w:eastAsia="ru-RU"/>
          </w:rPr>
          <w:t>ru</w:t>
        </w:r>
        <w:proofErr w:type="spellEnd"/>
      </w:hyperlink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)</w:t>
      </w:r>
      <w:r w:rsidR="00CF3D2D">
        <w:rPr>
          <w:rFonts w:eastAsia="Times New Roman" w:cs="Tahoma"/>
          <w:color w:val="434343"/>
          <w:sz w:val="24"/>
          <w:szCs w:val="24"/>
          <w:lang w:eastAsia="ru-RU"/>
        </w:rPr>
        <w:t>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Сотрудничество с научными учреждениями.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 Факультет активно сотрудничает с Институтом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оптики атмосферы СО РАН, Институтом мониторинга климатических и экологических систем СО РАН,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Московским, Санкт-Петербургским,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Южно-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Уральским университетами.</w:t>
      </w:r>
    </w:p>
    <w:p w:rsidR="000C49D9" w:rsidRPr="000B62EB" w:rsidRDefault="00220960" w:rsidP="000C49D9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Возможности продолжения образования.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Выпускники имеют возможность продолжить образование в магистратуре по направлениям «Математика», «Математика и компьютерные науки», «Механика и математическое моделирование».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Виды профессиональной деятельности.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Выпускник будет профессионально знать математик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у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и компьютерные науки, что позвол</w:t>
      </w:r>
      <w:r w:rsidR="00CF3D2D">
        <w:rPr>
          <w:rFonts w:eastAsia="Times New Roman" w:cs="Tahoma"/>
          <w:color w:val="434343"/>
          <w:sz w:val="24"/>
          <w:szCs w:val="24"/>
          <w:lang w:eastAsia="ru-RU"/>
        </w:rPr>
        <w:t>и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т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ему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работать как в </w:t>
      </w:r>
      <w:r w:rsidR="001339BA">
        <w:rPr>
          <w:rFonts w:eastAsia="Times New Roman" w:cs="Tahoma"/>
          <w:color w:val="434343"/>
          <w:sz w:val="24"/>
          <w:szCs w:val="24"/>
          <w:lang w:eastAsia="ru-RU"/>
        </w:rPr>
        <w:t xml:space="preserve">различных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област</w:t>
      </w:r>
      <w:r w:rsidR="001339BA">
        <w:rPr>
          <w:rFonts w:eastAsia="Times New Roman" w:cs="Tahoma"/>
          <w:color w:val="434343"/>
          <w:sz w:val="24"/>
          <w:szCs w:val="24"/>
          <w:lang w:eastAsia="ru-RU"/>
        </w:rPr>
        <w:t>ях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 применения математики, так и компьютерных технологий.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Трудоустройство.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 Компьютерные фирмы, вычислительные центры крупных предприятий, научные учреждения, финансовые учреждения, учебные учреждения.</w:t>
      </w:r>
    </w:p>
    <w:p w:rsidR="00220960" w:rsidRPr="000B62EB" w:rsidRDefault="00220960" w:rsidP="00220960">
      <w:pPr>
        <w:shd w:val="clear" w:color="auto" w:fill="FFFFFF"/>
        <w:spacing w:after="0" w:line="240" w:lineRule="auto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b/>
          <w:bCs/>
          <w:color w:val="434343"/>
          <w:sz w:val="24"/>
          <w:szCs w:val="24"/>
          <w:lang w:eastAsia="ru-RU"/>
        </w:rPr>
        <w:t>Контакты:</w:t>
      </w:r>
    </w:p>
    <w:p w:rsidR="00146DBB" w:rsidRPr="00CF3D2D" w:rsidRDefault="00220960" w:rsidP="00CF3D2D">
      <w:pPr>
        <w:shd w:val="clear" w:color="auto" w:fill="FFFFFF"/>
        <w:spacing w:after="0" w:line="234" w:lineRule="atLeast"/>
        <w:rPr>
          <w:rFonts w:eastAsia="Times New Roman" w:cs="Tahoma"/>
          <w:color w:val="434343"/>
          <w:sz w:val="24"/>
          <w:szCs w:val="24"/>
          <w:lang w:eastAsia="ru-RU"/>
        </w:rPr>
      </w:pP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Адрес: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634050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.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Томск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,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пр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>. 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Ленина, 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дом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>36</w:t>
      </w:r>
      <w:r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, </w:t>
      </w:r>
      <w:r w:rsidR="000C49D9" w:rsidRPr="000B62EB">
        <w:rPr>
          <w:rFonts w:eastAsia="Times New Roman" w:cs="Tahoma"/>
          <w:color w:val="434343"/>
          <w:sz w:val="24"/>
          <w:szCs w:val="24"/>
          <w:lang w:eastAsia="ru-RU"/>
        </w:rPr>
        <w:t xml:space="preserve">Томский государственный университет, 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>Механико-м</w:t>
      </w:r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 xml:space="preserve">атематический факультет, 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>2</w:t>
      </w:r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> 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 xml:space="preserve">учебный </w:t>
      </w:r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 xml:space="preserve">корпус, комн. 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>417</w:t>
      </w:r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>  </w:t>
      </w:r>
    </w:p>
    <w:p w:rsidR="00220960" w:rsidRPr="00CF3D2D" w:rsidRDefault="00146DBB" w:rsidP="00CF3D2D">
      <w:pPr>
        <w:shd w:val="clear" w:color="auto" w:fill="FFFFFF"/>
        <w:spacing w:after="0" w:line="234" w:lineRule="atLeast"/>
        <w:rPr>
          <w:rFonts w:eastAsia="Times New Roman" w:cs="Tahoma"/>
          <w:color w:val="434343"/>
          <w:sz w:val="24"/>
          <w:szCs w:val="24"/>
          <w:lang w:eastAsia="ru-RU"/>
        </w:rPr>
      </w:pPr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 xml:space="preserve">Сайт </w:t>
      </w:r>
      <w:hyperlink r:id="rId7" w:history="1">
        <w:r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http</w:t>
        </w:r>
        <w:r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://</w:t>
        </w:r>
        <w:r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math</w:t>
        </w:r>
        <w:r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r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tsu</w:t>
        </w:r>
        <w:r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r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ru</w:t>
        </w:r>
      </w:hyperlink>
      <w:r w:rsidRPr="00CF3D2D">
        <w:rPr>
          <w:rFonts w:eastAsia="Times New Roman" w:cs="Tahoma"/>
          <w:color w:val="434343"/>
          <w:sz w:val="24"/>
          <w:szCs w:val="24"/>
          <w:lang w:eastAsia="ru-RU"/>
        </w:rPr>
        <w:t xml:space="preserve"> </w:t>
      </w:r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br/>
        <w:t>Телефон: (3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>82</w:t>
      </w:r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t>2)</w:t>
      </w:r>
      <w:r w:rsidR="000C49D9" w:rsidRPr="00CF3D2D">
        <w:rPr>
          <w:rFonts w:eastAsia="Times New Roman" w:cs="Tahoma"/>
          <w:color w:val="434343"/>
          <w:sz w:val="24"/>
          <w:szCs w:val="24"/>
          <w:lang w:eastAsia="ru-RU"/>
        </w:rPr>
        <w:t>529740</w:t>
      </w:r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t> </w:t>
      </w:r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br/>
        <w:t>E-</w:t>
      </w:r>
      <w:proofErr w:type="spellStart"/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t>mail</w:t>
      </w:r>
      <w:proofErr w:type="spellEnd"/>
      <w:r w:rsidR="00220960" w:rsidRPr="00CF3D2D">
        <w:rPr>
          <w:rFonts w:eastAsia="Times New Roman" w:cs="Tahoma"/>
          <w:color w:val="434343"/>
          <w:sz w:val="24"/>
          <w:szCs w:val="24"/>
          <w:lang w:eastAsia="ru-RU"/>
        </w:rPr>
        <w:t>: </w:t>
      </w:r>
      <w:hyperlink r:id="rId8" w:history="1">
        <w:r w:rsidR="000C49D9"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dean</w:t>
        </w:r>
        <w:r w:rsidR="000C49D9"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@</w:t>
        </w:r>
        <w:r w:rsidR="000C49D9"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math</w:t>
        </w:r>
        <w:r w:rsidR="000C49D9"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r w:rsidR="000C49D9" w:rsidRPr="00CF3D2D">
          <w:rPr>
            <w:rStyle w:val="a3"/>
            <w:rFonts w:eastAsia="Times New Roman" w:cs="Tahoma"/>
            <w:sz w:val="24"/>
            <w:szCs w:val="24"/>
            <w:lang w:val="en-US" w:eastAsia="ru-RU"/>
          </w:rPr>
          <w:t>tsu</w:t>
        </w:r>
        <w:r w:rsidR="000C49D9"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.</w:t>
        </w:r>
        <w:proofErr w:type="spellStart"/>
        <w:r w:rsidR="000C49D9" w:rsidRPr="00CF3D2D">
          <w:rPr>
            <w:rStyle w:val="a3"/>
            <w:rFonts w:eastAsia="Times New Roman" w:cs="Tahoma"/>
            <w:sz w:val="24"/>
            <w:szCs w:val="24"/>
            <w:lang w:eastAsia="ru-RU"/>
          </w:rPr>
          <w:t>ru</w:t>
        </w:r>
        <w:proofErr w:type="spellEnd"/>
      </w:hyperlink>
    </w:p>
    <w:p w:rsidR="00040AA3" w:rsidRPr="000B62EB" w:rsidRDefault="00040AA3">
      <w:pPr>
        <w:rPr>
          <w:sz w:val="24"/>
          <w:szCs w:val="24"/>
        </w:rPr>
      </w:pPr>
    </w:p>
    <w:sectPr w:rsidR="00040AA3" w:rsidRPr="000B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862"/>
    <w:multiLevelType w:val="hybridMultilevel"/>
    <w:tmpl w:val="82C8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2795"/>
    <w:multiLevelType w:val="multilevel"/>
    <w:tmpl w:val="708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D60A1"/>
    <w:multiLevelType w:val="hybridMultilevel"/>
    <w:tmpl w:val="75C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65EC1"/>
    <w:multiLevelType w:val="multilevel"/>
    <w:tmpl w:val="93A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60"/>
    <w:rsid w:val="00040AA3"/>
    <w:rsid w:val="000B62EB"/>
    <w:rsid w:val="000C49D9"/>
    <w:rsid w:val="001339BA"/>
    <w:rsid w:val="00146DBB"/>
    <w:rsid w:val="00220960"/>
    <w:rsid w:val="0079410A"/>
    <w:rsid w:val="007D0719"/>
    <w:rsid w:val="00975B84"/>
    <w:rsid w:val="00B15D4E"/>
    <w:rsid w:val="00BA1A0C"/>
    <w:rsid w:val="00C4103A"/>
    <w:rsid w:val="00CF3D2D"/>
    <w:rsid w:val="00E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0960"/>
  </w:style>
  <w:style w:type="character" w:styleId="a3">
    <w:name w:val="Hyperlink"/>
    <w:basedOn w:val="a0"/>
    <w:uiPriority w:val="99"/>
    <w:unhideWhenUsed/>
    <w:rsid w:val="00220960"/>
    <w:rPr>
      <w:color w:val="0000FF"/>
      <w:u w:val="single"/>
    </w:rPr>
  </w:style>
  <w:style w:type="paragraph" w:customStyle="1" w:styleId="Default">
    <w:name w:val="Default"/>
    <w:rsid w:val="00220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20960"/>
  </w:style>
  <w:style w:type="character" w:styleId="a3">
    <w:name w:val="Hyperlink"/>
    <w:basedOn w:val="a0"/>
    <w:uiPriority w:val="99"/>
    <w:unhideWhenUsed/>
    <w:rsid w:val="00220960"/>
    <w:rPr>
      <w:color w:val="0000FF"/>
      <w:u w:val="single"/>
    </w:rPr>
  </w:style>
  <w:style w:type="paragraph" w:customStyle="1" w:styleId="Default">
    <w:name w:val="Default"/>
    <w:rsid w:val="00220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@math.t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.t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f.t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</dc:creator>
  <cp:lastModifiedBy>baza</cp:lastModifiedBy>
  <cp:revision>2</cp:revision>
  <dcterms:created xsi:type="dcterms:W3CDTF">2014-06-18T04:34:00Z</dcterms:created>
  <dcterms:modified xsi:type="dcterms:W3CDTF">2014-06-18T04:34:00Z</dcterms:modified>
</cp:coreProperties>
</file>